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ЗАКАЗ-НАРЯД №  ______   ОТ  «__» ________ 20__ Г.</w:t>
      </w:r>
    </w:p>
    <w:p>
      <w:pPr>
        <w:jc w:val="center"/>
      </w:pPr>
      <w:r>
        <w:rPr>
          <w:i/>
          <w:color w:val="64748B"/>
          <w:sz w:val="18"/>
        </w:rPr>
        <w:t>Форма договора фрахтования при заказных перевозках. Обязательные реквизиты — приложение № 4 к Правилам перевозок (ПП № 1586; с 01.09.2026 — приказ № 161), ст. 27 № 259-ФЗ.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2835"/>
          </w:tcPr>
          <w:p>
            <w:r>
              <w:rPr>
                <w:sz w:val="21"/>
              </w:rPr>
              <w:t>Фрахтовщик (перевозчик):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наименование, реквизиты, ОГРН/ОГРНИП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Фрахтователь (заказчик):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наименование/ФИО, реквизиты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Транспортное средство: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марка, модель, госномер, число мест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Водитель(и):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ФИО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Маршрут: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место подачи → место назначения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Подача ТС: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дата, время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Круг лиц: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определённый / неопределённый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Плата за пользование: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размер, порядок расчётов</w:t>
            </w:r>
          </w:p>
        </w:tc>
      </w:tr>
    </w:tbl>
    <w:p/>
    <w:p/>
    <w:p>
      <w:r>
        <w:rPr>
          <w:b/>
          <w:sz w:val="22"/>
        </w:rPr>
        <w:t>Подписи сторон</w:t>
      </w:r>
    </w:p>
    <w:p>
      <w:r>
        <w:rPr>
          <w:color w:val="64748B"/>
          <w:sz w:val="19"/>
        </w:rPr>
        <w:t>__________________ / _______________________     Фрахтовщик</w:t>
      </w:r>
    </w:p>
    <w:p>
      <w:r>
        <w:rPr>
          <w:color w:val="64748B"/>
          <w:sz w:val="19"/>
        </w:rPr>
        <w:t>__________________ / _______________________     Фрахтователь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907" w:left="1134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4" w:color="BFCDE0"/>
      </w:pBdr>
    </w:pPr>
    <w:r/>
    <w:r>
      <w:rPr>
        <w:b/>
        <w:color w:val="1F40A6"/>
        <w:sz w:val="18"/>
      </w:rPr>
      <w:t>infotransport.tech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  <w:pBdr>
        <w:bottom w:val="single" w:sz="4" w:space="4" w:color="BFCDE0"/>
      </w:pBdr>
    </w:pPr>
    <w:r/>
    <w:r>
      <w:rPr>
        <w:b/>
        <w:color w:val="1F40A6"/>
        <w:sz w:val="18"/>
      </w:rPr>
      <w:t>ИнфоТрансПорт</w:t>
    </w:r>
    <w:r>
      <w:rPr>
        <w:color w:val="64748B"/>
        <w:sz w:val="18"/>
      </w:rPr>
      <w:t xml:space="preserve"> — TMS-система управления перевозками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