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СМЕЖНЫЕ ДОКУМЕНТЫ ПЕРЕВОЗЧИКА — ЧЕК-ЛИСТ</w:t>
      </w:r>
    </w:p>
    <w:p>
      <w:pPr>
        <w:jc w:val="center"/>
      </w:pPr>
      <w:r>
        <w:rPr>
          <w:i/>
          <w:color w:val="64748B"/>
          <w:sz w:val="18"/>
        </w:rPr>
        <w:t>Документы, сопровождающие допуск ТС и водителя. Утверждены отдельными актами; чек-лист — для внутреннего контроля комплектности.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41"/>
          </w:tcPr>
          <w:p>
            <w:r>
              <w:rPr>
                <w:b/>
                <w:sz w:val="17"/>
              </w:rPr>
              <w:t>Документ</w:t>
            </w:r>
          </w:p>
        </w:tc>
        <w:tc>
          <w:tcPr>
            <w:tcW w:type="dxa" w:w="2381"/>
          </w:tcPr>
          <w:p>
            <w:r>
              <w:rPr>
                <w:b/>
                <w:sz w:val="17"/>
              </w:rPr>
              <w:t>Что подтверждает</w:t>
            </w:r>
          </w:p>
        </w:tc>
        <w:tc>
          <w:tcPr>
            <w:tcW w:type="dxa" w:w="2154"/>
          </w:tcPr>
          <w:p>
            <w:r>
              <w:rPr>
                <w:b/>
                <w:sz w:val="17"/>
              </w:rPr>
              <w:t>Кем выдаётся / где ведётся</w:t>
            </w:r>
          </w:p>
        </w:tc>
        <w:tc>
          <w:tcPr>
            <w:tcW w:type="dxa" w:w="1474"/>
          </w:tcPr>
          <w:p>
            <w:r>
              <w:rPr>
                <w:b/>
                <w:sz w:val="17"/>
              </w:rPr>
              <w:t>Основание</w:t>
            </w:r>
          </w:p>
        </w:tc>
        <w:tc>
          <w:tcPr>
            <w:tcW w:type="dxa" w:w="1304"/>
          </w:tcPr>
          <w:p>
            <w:r>
              <w:rPr>
                <w:b/>
                <w:sz w:val="17"/>
              </w:rPr>
              <w:t>Наличие / срок</w:t>
            </w:r>
          </w:p>
        </w:tc>
      </w:tr>
      <w:tr>
        <w:tc>
          <w:tcPr>
            <w:tcW w:type="dxa" w:w="2041"/>
          </w:tcPr>
          <w:p>
            <w:r>
              <w:rPr>
                <w:sz w:val="18"/>
              </w:rPr>
              <w:t>Диагностическая карта</w:t>
            </w:r>
          </w:p>
        </w:tc>
        <w:tc>
          <w:tcPr>
            <w:tcW w:type="dxa" w:w="2381"/>
          </w:tcPr>
          <w:p>
            <w:r>
              <w:rPr>
                <w:sz w:val="18"/>
              </w:rPr>
              <w:t>Прохождение техосмотра (для автобусов — с участием ГИБДД)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ЕАИСТО (электронно); бумажная выписка по запросу</w:t>
            </w:r>
          </w:p>
        </w:tc>
        <w:tc>
          <w:tcPr>
            <w:tcW w:type="dxa" w:w="1474"/>
          </w:tcPr>
          <w:p>
            <w:r>
              <w:rPr>
                <w:sz w:val="18"/>
              </w:rPr>
              <w:t>170-ФЗ, ПП № 741</w:t>
            </w:r>
          </w:p>
        </w:tc>
        <w:tc>
          <w:tcPr>
            <w:tcW w:type="dxa" w:w="130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041"/>
          </w:tcPr>
          <w:p>
            <w:r>
              <w:rPr>
                <w:sz w:val="18"/>
              </w:rPr>
              <w:t>Выписка из реестра лицензий</w:t>
            </w:r>
          </w:p>
        </w:tc>
        <w:tc>
          <w:tcPr>
            <w:tcW w:type="dxa" w:w="2381"/>
          </w:tcPr>
          <w:p>
            <w:r>
              <w:rPr>
                <w:sz w:val="18"/>
              </w:rPr>
              <w:t>Право перевозки пассажиров автобусами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Ространснадзор (реестровая запись)</w:t>
            </w:r>
          </w:p>
        </w:tc>
        <w:tc>
          <w:tcPr>
            <w:tcW w:type="dxa" w:w="1474"/>
          </w:tcPr>
          <w:p>
            <w:r>
              <w:rPr>
                <w:sz w:val="18"/>
              </w:rPr>
              <w:t>99-ФЗ, ПП № 1616</w:t>
            </w:r>
          </w:p>
        </w:tc>
        <w:tc>
          <w:tcPr>
            <w:tcW w:type="dxa" w:w="130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041"/>
          </w:tcPr>
          <w:p>
            <w:r>
              <w:rPr>
                <w:sz w:val="18"/>
              </w:rPr>
              <w:t>Карта водителя (тахограф)</w:t>
            </w:r>
          </w:p>
        </w:tc>
        <w:tc>
          <w:tcPr>
            <w:tcW w:type="dxa" w:w="2381"/>
          </w:tcPr>
          <w:p>
            <w:r>
              <w:rPr>
                <w:sz w:val="18"/>
              </w:rPr>
              <w:t>Идентификация водителя в тахографе с СКЗИ; режим труда и отдыха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Мастерские, уполномоченные ФБУ «Росавтотранс»</w:t>
            </w:r>
          </w:p>
        </w:tc>
        <w:tc>
          <w:tcPr>
            <w:tcW w:type="dxa" w:w="1474"/>
          </w:tcPr>
          <w:p>
            <w:r>
              <w:rPr>
                <w:sz w:val="18"/>
              </w:rPr>
              <w:t>Приказ Минтранса № 440</w:t>
            </w:r>
          </w:p>
        </w:tc>
        <w:tc>
          <w:tcPr>
            <w:tcW w:type="dxa" w:w="130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041"/>
          </w:tcPr>
          <w:p>
            <w:r>
              <w:rPr>
                <w:sz w:val="18"/>
              </w:rPr>
              <w:t>Полис ОСГОП</w:t>
            </w:r>
          </w:p>
        </w:tc>
        <w:tc>
          <w:tcPr>
            <w:tcW w:type="dxa" w:w="2381"/>
          </w:tcPr>
          <w:p>
            <w:r>
              <w:rPr>
                <w:sz w:val="18"/>
              </w:rPr>
              <w:t>Страхование ответственности перевозчика перед пассажирами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Страховая организация</w:t>
            </w:r>
          </w:p>
        </w:tc>
        <w:tc>
          <w:tcPr>
            <w:tcW w:type="dxa" w:w="1474"/>
          </w:tcPr>
          <w:p>
            <w:r>
              <w:rPr>
                <w:sz w:val="18"/>
              </w:rPr>
              <w:t>67-ФЗ</w:t>
            </w:r>
          </w:p>
        </w:tc>
        <w:tc>
          <w:tcPr>
            <w:tcW w:type="dxa" w:w="1304"/>
          </w:tcPr>
          <w:p>
            <w:r>
              <w:rPr>
                <w:sz w:val="18"/>
              </w:rPr>
            </w:r>
          </w:p>
        </w:tc>
      </w:tr>
    </w:tbl>
    <w:p/>
    <w:p>
      <w:r>
        <w:rPr>
          <w:i/>
          <w:color w:val="64748B"/>
          <w:sz w:val="18"/>
        </w:rPr>
        <w:t>Наличие договора ОСГОП — лицензионное требование. Диагностическая карта и карта водителя проверяются при контроле на линии.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