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ЭТРН, ЭЛЕКТРОННЫЙ ЗАКАЗ-НАРЯД, СОПРОВОДИТЕЛЬНАЯ ВЕДОМОСТЬ</w:t>
      </w:r>
    </w:p>
    <w:p>
      <w:pPr>
        <w:jc w:val="center"/>
      </w:pPr>
      <w:r>
        <w:rPr>
          <w:i/>
          <w:color w:val="64748B"/>
          <w:sz w:val="18"/>
        </w:rPr>
        <w:t>Форматы — приказ ФНС № ЕД-7-26/1065@ от 09.12.2021 (действует до 01.09.2026; далее — новые форматы по 140-ФЗ). Принцип «титулы по ролям», подписи — УКЭП сторон.</w:t>
      </w:r>
    </w:p>
    <w:p/>
    <w:p>
      <w:r>
        <w:rPr>
          <w:b/>
          <w:sz w:val="22"/>
        </w:rPr>
        <w:t>Электронная транспортная накладная (ЭТрН) — титулы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19"/>
        <w:gridCol w:w="3419"/>
        <w:gridCol w:w="3419"/>
      </w:tblGrid>
      <w:tr>
        <w:tc>
          <w:tcPr>
            <w:tcW w:type="dxa" w:w="2608"/>
          </w:tcPr>
          <w:p>
            <w:r>
              <w:rPr>
                <w:b/>
                <w:sz w:val="18"/>
              </w:rPr>
              <w:t>Титул</w:t>
            </w:r>
          </w:p>
        </w:tc>
        <w:tc>
          <w:tcPr>
            <w:tcW w:type="dxa" w:w="2268"/>
          </w:tcPr>
          <w:p>
            <w:r>
              <w:rPr>
                <w:b/>
                <w:sz w:val="18"/>
              </w:rPr>
              <w:t>Кто формирует</w:t>
            </w:r>
          </w:p>
        </w:tc>
        <w:tc>
          <w:tcPr>
            <w:tcW w:type="dxa" w:w="4479"/>
          </w:tcPr>
          <w:p>
            <w:r>
              <w:rPr>
                <w:b/>
                <w:sz w:val="18"/>
              </w:rPr>
              <w:t>Ключевые сведения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1. Информация грузоотправителя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Грузоотправитель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Участники, условия договора, ТС и водитель, груз и сопроводительные документы, факт погрузки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2. Приём груза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Перевозчик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Факт и обстоятельства приёма груза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3. Информация грузополучателя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Грузополучатель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Факт получения груза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4. Выдача груза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Перевозчик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Факт выдачи груза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Опциональные файлы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Стороны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Переадресовка; замена водителя и/или ТС; уточнение стоимости</w:t>
            </w:r>
          </w:p>
        </w:tc>
      </w:tr>
    </w:tbl>
    <w:p/>
    <w:p>
      <w:r>
        <w:rPr>
          <w:b/>
          <w:sz w:val="22"/>
        </w:rPr>
        <w:t>Электронный заказ-наряд (ЭЗН) — титулы фрахтования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4876"/>
          </w:tcPr>
          <w:p>
            <w:r>
              <w:rPr>
                <w:b/>
                <w:sz w:val="18"/>
              </w:rPr>
              <w:t>Титул</w:t>
            </w:r>
          </w:p>
        </w:tc>
        <w:tc>
          <w:tcPr>
            <w:tcW w:type="dxa" w:w="4479"/>
          </w:tcPr>
          <w:p>
            <w:r>
              <w:rPr>
                <w:b/>
                <w:sz w:val="18"/>
              </w:rPr>
              <w:t>Кто формирует</w:t>
            </w:r>
          </w:p>
        </w:tc>
      </w:tr>
      <w:tr>
        <w:tc>
          <w:tcPr>
            <w:tcW w:type="dxa" w:w="4876"/>
          </w:tcPr>
          <w:p>
            <w:r>
              <w:rPr>
                <w:sz w:val="19"/>
              </w:rPr>
              <w:t>1. Информация фрахтователя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Фрахтователь (заказчик)</w:t>
            </w:r>
          </w:p>
        </w:tc>
      </w:tr>
      <w:tr>
        <w:tc>
          <w:tcPr>
            <w:tcW w:type="dxa" w:w="4876"/>
          </w:tcPr>
          <w:p>
            <w:r>
              <w:rPr>
                <w:sz w:val="19"/>
              </w:rPr>
              <w:t>2. Информация фрахтовщика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Фрахтовщик (перевозчик)</w:t>
            </w:r>
          </w:p>
        </w:tc>
      </w:tr>
      <w:tr>
        <w:tc>
          <w:tcPr>
            <w:tcW w:type="dxa" w:w="4876"/>
          </w:tcPr>
          <w:p>
            <w:r>
              <w:rPr>
                <w:sz w:val="19"/>
              </w:rPr>
              <w:t>3. По факту подачи ТС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Фрахтователь</w:t>
            </w:r>
          </w:p>
        </w:tc>
      </w:tr>
      <w:tr>
        <w:tc>
          <w:tcPr>
            <w:tcW w:type="dxa" w:w="4876"/>
          </w:tcPr>
          <w:p>
            <w:r>
              <w:rPr>
                <w:sz w:val="19"/>
              </w:rPr>
              <w:t>4. По факту возврата ТС</w:t>
            </w:r>
          </w:p>
        </w:tc>
        <w:tc>
          <w:tcPr>
            <w:tcW w:type="dxa" w:w="4479"/>
          </w:tcPr>
          <w:p>
            <w:r>
              <w:rPr>
                <w:sz w:val="19"/>
              </w:rPr>
              <w:t>Фрахтовщик</w:t>
            </w:r>
          </w:p>
        </w:tc>
      </w:tr>
    </w:tbl>
    <w:p/>
    <w:p>
      <w:r>
        <w:rPr>
          <w:b/>
          <w:sz w:val="22"/>
        </w:rPr>
        <w:t>Данные для заполнения (общие)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Стороны (наименования, ИНН):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Груз / предмет фрахтования: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количество, документы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Транспортное средство: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марка, модель, госномер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Водитель(и):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ФИО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Маршрут: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пункт погрузки/подачи → пункт выгрузки/назначения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Даты и время: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погрузка/подача — выгрузка/возврат</w:t>
            </w:r>
          </w:p>
        </w:tc>
      </w:tr>
    </w:tbl>
    <w:p/>
    <w:p>
      <w:r>
        <w:rPr>
          <w:i/>
          <w:color w:val="64748B"/>
          <w:sz w:val="18"/>
        </w:rPr>
        <w:t>Тем же приказом утверждён формат электронной сопроводительной ведомости. С 01.09.2026 линейка электронных заказов и заявок расширяется — следите за публикациями ФНС (nalog.gov.ru).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