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ЭЛЕКТРОННЫЙ ПУТЕВОЙ ЛИСТ (ЭПЛ) — СТРУКТУРА И ДАННЫЕ</w:t>
      </w:r>
    </w:p>
    <w:p>
      <w:pPr>
        <w:jc w:val="center"/>
      </w:pPr>
      <w:r>
        <w:rPr>
          <w:i/>
          <w:color w:val="64748B"/>
          <w:sz w:val="18"/>
        </w:rPr>
        <w:t>Формат — приказ ФНС № ЕД-7-26/116@ от 17.02.2023 (до 01.03.2029). Состав сведений — приказ Минтранса № 390. Передаётся через оператора ИС ЭПД в ГИС ЭПД; для пассажирских перевозок пока добровольный.</w:t>
      </w:r>
    </w:p>
    <w:p/>
    <w:p>
      <w:r>
        <w:rPr>
          <w:b/>
          <w:sz w:val="22"/>
        </w:rPr>
        <w:t>Файлы обмена (титулы)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381"/>
          </w:tcPr>
          <w:p>
            <w:r>
              <w:rPr>
                <w:b/>
                <w:sz w:val="18"/>
              </w:rPr>
              <w:t>Файл обмена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Обязательность</w:t>
            </w:r>
          </w:p>
        </w:tc>
        <w:tc>
          <w:tcPr>
            <w:tcW w:type="dxa" w:w="3572"/>
          </w:tcPr>
          <w:p>
            <w:r>
              <w:rPr>
                <w:b/>
                <w:sz w:val="18"/>
              </w:rPr>
              <w:t>Состав сведений</w:t>
            </w:r>
          </w:p>
        </w:tc>
        <w:tc>
          <w:tcPr>
            <w:tcW w:type="dxa" w:w="2041"/>
          </w:tcPr>
          <w:p>
            <w:r>
              <w:rPr>
                <w:b/>
                <w:sz w:val="18"/>
              </w:rPr>
              <w:t>Подписывает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Титул собственника (владельца) ТС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обязательный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Срок действия, оформитель, ТС, водитель, вид перевозки и вид сообщения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Госуслуг владельца ТС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Информация о медицинском осмотре водителя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обязательный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Отметка о предрейсовом / предсменном медосмотре (дата, время, заключение)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медработника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Результат предрейсового техконтроля, выпуск на линию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обязательный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Отметка «выпуск на линию разрешён» (дата, время)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контролёра техсостояния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Показания одометра при выезде / приёме ТС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обязательный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Дата, время, километраж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уполномоченного лица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Показания одометра при заезде / сдаче ТС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опциональный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Дата, время, километраж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уполномоченного лица</w:t>
            </w:r>
          </w:p>
        </w:tc>
      </w:tr>
      <w:tr>
        <w:tc>
          <w:tcPr>
            <w:tcW w:type="dxa" w:w="2381"/>
          </w:tcPr>
          <w:p>
            <w:r>
              <w:rPr>
                <w:sz w:val="19"/>
              </w:rPr>
              <w:t>Послерейсовые отметки (медосмотр и т.п.)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опциональный</w:t>
            </w:r>
          </w:p>
        </w:tc>
        <w:tc>
          <w:tcPr>
            <w:tcW w:type="dxa" w:w="3572"/>
          </w:tcPr>
          <w:p>
            <w:r>
              <w:rPr>
                <w:sz w:val="19"/>
              </w:rPr>
              <w:t>Отметки послерейсовых процедур</w:t>
            </w:r>
          </w:p>
        </w:tc>
        <w:tc>
          <w:tcPr>
            <w:tcW w:type="dxa" w:w="2041"/>
          </w:tcPr>
          <w:p>
            <w:r>
              <w:rPr>
                <w:sz w:val="19"/>
              </w:rPr>
              <w:t>УКЭП / УНЭП соответствующего лица</w:t>
            </w:r>
          </w:p>
        </w:tc>
      </w:tr>
    </w:tbl>
    <w:p/>
    <w:p>
      <w:r>
        <w:rPr>
          <w:b/>
          <w:sz w:val="22"/>
        </w:rPr>
        <w:t>Данные титула собственника ТС — для заполнения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Срок действия: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с «__» ________ 20__ г. по «__» ________ 20__ г.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Оформил (ЮЛ/ИП):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ОГРН/ОГРНИП, адрес, телефон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Транспортное средство: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тип, марка, модель, госномер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Водитель: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ФИО, ВУ (серия, №, дата), СНИЛС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перевозки: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регулярная / по заказу / для собственных нужд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сообщения: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городское / пригородное / междугородное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Оператор ИС ЭПД: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 оператора</w:t>
            </w:r>
          </w:p>
        </w:tc>
      </w:tr>
    </w:tbl>
    <w:p/>
    <w:p>
      <w:r>
        <w:rPr>
          <w:i/>
          <w:color w:val="64748B"/>
          <w:sz w:val="18"/>
        </w:rPr>
        <w:t>Важно: роуминг между операторами для ЭПЛ не поддерживается — владелец ТС, медработник, механик и водитель должны быть подключены к одному оператору ИС ЭПД.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